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336" w:rsidRPr="00B60358" w:rsidRDefault="00B60358" w:rsidP="000A4336">
      <w:pPr>
        <w:pStyle w:val="Titolo"/>
      </w:pPr>
      <w:bookmarkStart w:id="0" w:name="_GoBack"/>
      <w:bookmarkEnd w:id="0"/>
      <w:r w:rsidRPr="00B60358">
        <w:t>AVVISO AD EVIDENZA PUBBLICA PER L’EFFICIENTAMENTO ENERGETICO DEL PATRIMONIO EDILIZIO PUBBLICO DEI COMUNI E DELLE UNITÉS DES COMMUNES VALDÔTAINES (D.G.R. 323/2020)</w:t>
      </w:r>
    </w:p>
    <w:p w:rsidR="00037054" w:rsidRDefault="00B60358" w:rsidP="00037054">
      <w:pPr>
        <w:pStyle w:val="Titolo"/>
        <w:jc w:val="center"/>
      </w:pPr>
      <w:r w:rsidRPr="00B60358">
        <w:t>FAQ - DOMANDE FREQUENTI</w:t>
      </w:r>
    </w:p>
    <w:p w:rsidR="00037054" w:rsidRPr="00037054" w:rsidRDefault="00037054" w:rsidP="00037054">
      <w:pPr>
        <w:pStyle w:val="Titolo"/>
        <w:jc w:val="center"/>
        <w:rPr>
          <w:sz w:val="24"/>
        </w:rPr>
      </w:pPr>
      <w:r w:rsidRPr="00037054">
        <w:rPr>
          <w:sz w:val="24"/>
        </w:rPr>
        <w:t>Rev.</w:t>
      </w:r>
      <w:r w:rsidR="001673BE">
        <w:rPr>
          <w:sz w:val="24"/>
        </w:rPr>
        <w:t xml:space="preserve"> 26 giugno</w:t>
      </w:r>
      <w:r w:rsidRPr="001673BE">
        <w:rPr>
          <w:sz w:val="24"/>
        </w:rPr>
        <w:t xml:space="preserve"> 2020</w:t>
      </w:r>
    </w:p>
    <w:p w:rsidR="00A06246" w:rsidRDefault="00A06246" w:rsidP="00A06246">
      <w:pPr>
        <w:spacing w:after="0" w:line="240" w:lineRule="auto"/>
        <w:jc w:val="both"/>
      </w:pPr>
    </w:p>
    <w:p w:rsidR="000A4336" w:rsidRDefault="0004188D" w:rsidP="000A4336">
      <w:pPr>
        <w:pStyle w:val="Titolo1"/>
      </w:pPr>
      <w:r>
        <w:t xml:space="preserve">Obbligatorietà </w:t>
      </w:r>
      <w:r w:rsidR="00B60358">
        <w:t>dell’</w:t>
      </w:r>
      <w:r w:rsidR="000A4336" w:rsidRPr="000A4336">
        <w:t>APE allo stato di fatto</w:t>
      </w:r>
    </w:p>
    <w:tbl>
      <w:tblPr>
        <w:tblStyle w:val="Grigliatabella"/>
        <w:tblW w:w="0" w:type="auto"/>
        <w:tblLayout w:type="fixed"/>
        <w:tblLook w:val="04A0" w:firstRow="1" w:lastRow="0" w:firstColumn="1" w:lastColumn="0" w:noHBand="0" w:noVBand="1"/>
      </w:tblPr>
      <w:tblGrid>
        <w:gridCol w:w="1809"/>
        <w:gridCol w:w="8045"/>
      </w:tblGrid>
      <w:tr w:rsidR="000A4336" w:rsidTr="0004188D">
        <w:tc>
          <w:tcPr>
            <w:tcW w:w="1809" w:type="dxa"/>
          </w:tcPr>
          <w:p w:rsidR="000A4336" w:rsidRDefault="000A4336" w:rsidP="00550C0E">
            <w:pPr>
              <w:jc w:val="both"/>
            </w:pPr>
            <w:r>
              <w:t>Quesito</w:t>
            </w:r>
          </w:p>
        </w:tc>
        <w:tc>
          <w:tcPr>
            <w:tcW w:w="8045" w:type="dxa"/>
          </w:tcPr>
          <w:p w:rsidR="0004188D" w:rsidRDefault="000A4336" w:rsidP="00550C0E">
            <w:pPr>
              <w:jc w:val="both"/>
            </w:pPr>
            <w:r w:rsidRPr="000A4336">
              <w:t>Tra la documentazione da presentare indicata al punto 5 dell'allegato 2 non è presente l'APE ma solo la diagnosi energetica dell'edificio. Si chiede se sia dovuta la presentazione anche dell'APE ed in caso affermativo se sia ammissibile fornire l'APE ad oggi in nostro possesso redatto nell'anno 2011.</w:t>
            </w:r>
          </w:p>
        </w:tc>
      </w:tr>
      <w:tr w:rsidR="000A4336" w:rsidTr="0004188D">
        <w:tc>
          <w:tcPr>
            <w:tcW w:w="1809" w:type="dxa"/>
          </w:tcPr>
          <w:p w:rsidR="000A4336" w:rsidRDefault="000A4336" w:rsidP="00550C0E">
            <w:pPr>
              <w:jc w:val="both"/>
            </w:pPr>
            <w:r>
              <w:t>Risposta</w:t>
            </w:r>
          </w:p>
        </w:tc>
        <w:tc>
          <w:tcPr>
            <w:tcW w:w="8045" w:type="dxa"/>
          </w:tcPr>
          <w:p w:rsidR="0039786B" w:rsidRDefault="0039786B" w:rsidP="000A4336">
            <w:pPr>
              <w:jc w:val="both"/>
            </w:pPr>
            <w:r>
              <w:t>L’edificio deve essere provvisto di APE in corso di validità all’atto della presentazione delle domanda</w:t>
            </w:r>
            <w:r w:rsidR="00041D48">
              <w:t xml:space="preserve"> (rif. paragrafo 3.2, lett. h), dell'Avviso)</w:t>
            </w:r>
          </w:p>
          <w:p w:rsidR="0039786B" w:rsidRDefault="0039786B" w:rsidP="000A4336">
            <w:pPr>
              <w:jc w:val="both"/>
            </w:pPr>
            <w:r>
              <w:t xml:space="preserve">Se lo </w:t>
            </w:r>
            <w:r w:rsidR="00805717">
              <w:t>stabile</w:t>
            </w:r>
            <w:r>
              <w:t xml:space="preserve"> fosse sprovvisto di APE</w:t>
            </w:r>
            <w:r w:rsidR="00041D48">
              <w:t xml:space="preserve"> in corso di validità</w:t>
            </w:r>
            <w:r>
              <w:t>, il Comune deve</w:t>
            </w:r>
            <w:r w:rsidR="00A30AD7">
              <w:t xml:space="preserve"> pertanto</w:t>
            </w:r>
            <w:r>
              <w:t xml:space="preserve"> acquisirlo ai fini delle </w:t>
            </w:r>
            <w:r w:rsidR="00805717">
              <w:t>presentazione</w:t>
            </w:r>
            <w:r>
              <w:t xml:space="preserve"> della domanda e le spese per </w:t>
            </w:r>
            <w:r w:rsidR="00805717">
              <w:t>produrlo</w:t>
            </w:r>
            <w:r>
              <w:t xml:space="preserve"> sono ammissibili</w:t>
            </w:r>
            <w:r w:rsidR="00041D48">
              <w:t xml:space="preserve"> ai sensi del paragrafo</w:t>
            </w:r>
            <w:r w:rsidR="00A30AD7">
              <w:t xml:space="preserve"> 3.6 dell’avviso (lett. b). </w:t>
            </w:r>
          </w:p>
          <w:p w:rsidR="000A4336" w:rsidRDefault="00A30AD7" w:rsidP="0039786B">
            <w:pPr>
              <w:jc w:val="both"/>
            </w:pPr>
            <w:r>
              <w:t xml:space="preserve">Non è obbligatorio allegare l’APE alla domanda di contributo, sarà sufficiente indicare il relativo Codice nell’apposito campo della </w:t>
            </w:r>
            <w:r w:rsidRPr="00A30AD7">
              <w:t>Scheda tecni</w:t>
            </w:r>
            <w:r>
              <w:t>co-economica di progetto (STEP – all. 5).</w:t>
            </w:r>
          </w:p>
          <w:p w:rsidR="0004188D" w:rsidRDefault="0004188D" w:rsidP="0004188D">
            <w:pPr>
              <w:jc w:val="both"/>
            </w:pPr>
            <w:r>
              <w:t xml:space="preserve">NB. </w:t>
            </w:r>
            <w:r w:rsidRPr="0004188D">
              <w:t>per verificare se</w:t>
            </w:r>
            <w:r>
              <w:t xml:space="preserve"> l' APE è in corso di validità è possibile </w:t>
            </w:r>
            <w:r w:rsidRPr="0004188D">
              <w:t xml:space="preserve">utilizzare la funzionalità presente sul Portale Beauclimat nella pagina </w:t>
            </w:r>
            <w:r w:rsidR="00A06246" w:rsidRPr="0004188D">
              <w:rPr>
                <w:i/>
              </w:rPr>
              <w:t xml:space="preserve">Verifica </w:t>
            </w:r>
            <w:r w:rsidRPr="0004188D">
              <w:rPr>
                <w:i/>
              </w:rPr>
              <w:t>attestato</w:t>
            </w:r>
            <w:r>
              <w:t>,</w:t>
            </w:r>
            <w:r w:rsidRPr="0004188D">
              <w:t xml:space="preserve"> avendo cura di scrivere correttamente e per intero il codice</w:t>
            </w:r>
            <w:r>
              <w:t>.</w:t>
            </w:r>
          </w:p>
          <w:p w:rsidR="0004188D" w:rsidRDefault="008F40E7" w:rsidP="0004188D">
            <w:pPr>
              <w:jc w:val="both"/>
            </w:pPr>
            <w:hyperlink r:id="rId8" w:history="1">
              <w:r w:rsidR="0004188D" w:rsidRPr="00F44745">
                <w:rPr>
                  <w:rStyle w:val="Collegamentoipertestuale"/>
                </w:rPr>
                <w:t>http://energia.partout.it/CatastoEnergetico/page42c.do?so=miu163c&amp;hold=160&amp;link=oln878c.redirect&amp;mc=miu163c&amp;nav=page42c.11</w:t>
              </w:r>
            </w:hyperlink>
            <w:r w:rsidR="0004188D">
              <w:t xml:space="preserve"> </w:t>
            </w:r>
          </w:p>
          <w:p w:rsidR="00256533" w:rsidRDefault="00256533" w:rsidP="0004188D">
            <w:pPr>
              <w:jc w:val="both"/>
            </w:pPr>
          </w:p>
        </w:tc>
      </w:tr>
    </w:tbl>
    <w:p w:rsidR="000A4336" w:rsidRDefault="000A4336" w:rsidP="000A4336"/>
    <w:p w:rsidR="000A4336" w:rsidRDefault="000A4336" w:rsidP="000A4336">
      <w:pPr>
        <w:pStyle w:val="Titolo1"/>
      </w:pPr>
      <w:r>
        <w:t>Ammissibilità intervento di rifacimento del manto di copertura dell’edificio</w:t>
      </w:r>
    </w:p>
    <w:tbl>
      <w:tblPr>
        <w:tblStyle w:val="Grigliatabella"/>
        <w:tblW w:w="0" w:type="auto"/>
        <w:tblLook w:val="04A0" w:firstRow="1" w:lastRow="0" w:firstColumn="1" w:lastColumn="0" w:noHBand="0" w:noVBand="1"/>
      </w:tblPr>
      <w:tblGrid>
        <w:gridCol w:w="1809"/>
        <w:gridCol w:w="7969"/>
      </w:tblGrid>
      <w:tr w:rsidR="000A4336" w:rsidTr="00550C0E">
        <w:tc>
          <w:tcPr>
            <w:tcW w:w="1809" w:type="dxa"/>
          </w:tcPr>
          <w:p w:rsidR="000A4336" w:rsidRDefault="000A4336" w:rsidP="00550C0E">
            <w:pPr>
              <w:jc w:val="both"/>
            </w:pPr>
            <w:r>
              <w:t>Quesito</w:t>
            </w:r>
          </w:p>
        </w:tc>
        <w:tc>
          <w:tcPr>
            <w:tcW w:w="7969" w:type="dxa"/>
          </w:tcPr>
          <w:p w:rsidR="0004188D" w:rsidRDefault="000A4336" w:rsidP="000A4336">
            <w:pPr>
              <w:jc w:val="both"/>
            </w:pPr>
            <w:r>
              <w:t xml:space="preserve">Si richiede di confermare </w:t>
            </w:r>
            <w:r w:rsidRPr="000A4336">
              <w:t>se</w:t>
            </w:r>
            <w:r>
              <w:t xml:space="preserve"> un intervento di </w:t>
            </w:r>
            <w:r w:rsidRPr="000A4336">
              <w:t>rifaci</w:t>
            </w:r>
            <w:r>
              <w:t>mento del manto di copertura di un edificio</w:t>
            </w:r>
            <w:r w:rsidRPr="000A4336">
              <w:t>, per il miglioramento delle condizioni di efficienza in termini di risparmio energetico,</w:t>
            </w:r>
            <w:r>
              <w:t xml:space="preserve"> </w:t>
            </w:r>
            <w:r w:rsidRPr="000A4336">
              <w:t>possa rientrare nella tipologia degli interventi ammissibili di cui a</w:t>
            </w:r>
            <w:r>
              <w:t>l paragrafo</w:t>
            </w:r>
            <w:r w:rsidRPr="000A4336">
              <w:t xml:space="preserve"> 3.3 </w:t>
            </w:r>
            <w:r>
              <w:t>(</w:t>
            </w:r>
            <w:r w:rsidRPr="000A4336">
              <w:t xml:space="preserve">Interventi </w:t>
            </w:r>
            <w:r>
              <w:t xml:space="preserve">ammissibili) </w:t>
            </w:r>
            <w:r w:rsidRPr="000A4336">
              <w:t>lett. b)</w:t>
            </w:r>
            <w:r>
              <w:t>, dell’avviso</w:t>
            </w:r>
            <w:r w:rsidRPr="000A4336">
              <w:t xml:space="preserve"> </w:t>
            </w:r>
          </w:p>
        </w:tc>
      </w:tr>
      <w:tr w:rsidR="000A4336" w:rsidTr="00550C0E">
        <w:tc>
          <w:tcPr>
            <w:tcW w:w="1809" w:type="dxa"/>
          </w:tcPr>
          <w:p w:rsidR="000A4336" w:rsidRDefault="000A4336" w:rsidP="00550C0E">
            <w:pPr>
              <w:jc w:val="both"/>
            </w:pPr>
            <w:r>
              <w:t>Risposta</w:t>
            </w:r>
          </w:p>
        </w:tc>
        <w:tc>
          <w:tcPr>
            <w:tcW w:w="7969" w:type="dxa"/>
          </w:tcPr>
          <w:p w:rsidR="000A4336" w:rsidRDefault="002B59D9" w:rsidP="000A4336">
            <w:pPr>
              <w:jc w:val="both"/>
            </w:pPr>
            <w:r>
              <w:t>I l</w:t>
            </w:r>
            <w:r w:rsidR="000A4336">
              <w:t>avori di rifacimento del manto di copertura per il miglioramento delle condizioni di efficienza in termini di risparmio energetico</w:t>
            </w:r>
            <w:r>
              <w:t xml:space="preserve"> </w:t>
            </w:r>
            <w:r w:rsidR="000A4336">
              <w:t xml:space="preserve">sono riconducibili alla tipologia degli interventi ammissibili di cui alla lett. b) interventi di isolamento termico sull’involucro opaco, comprensivi delle opere provvisionali e accessorie. </w:t>
            </w:r>
          </w:p>
          <w:p w:rsidR="0004188D" w:rsidRDefault="000A4336" w:rsidP="000A4336">
            <w:pPr>
              <w:jc w:val="both"/>
            </w:pPr>
            <w:r>
              <w:t>Non avendo ulteriori elementi a disposizione, si evidenzia tuttavia la necessità che il Comune verifichi, attraverso i propri tecnici, il rispetto delle condizioni di ammissibilità di cui al paragrafo 3.4.dell’Avviso (Condizioni di ammissibilità degli interventi).</w:t>
            </w:r>
          </w:p>
        </w:tc>
      </w:tr>
    </w:tbl>
    <w:p w:rsidR="000A4336" w:rsidRDefault="000A4336" w:rsidP="000A4336"/>
    <w:p w:rsidR="00A06246" w:rsidRDefault="00A06246">
      <w:pPr>
        <w:rPr>
          <w:rFonts w:asciiTheme="majorHAnsi" w:eastAsiaTheme="majorEastAsia" w:hAnsiTheme="majorHAnsi" w:cstheme="majorBidi"/>
          <w:b/>
          <w:bCs/>
          <w:color w:val="0033CC"/>
          <w:sz w:val="24"/>
          <w:szCs w:val="28"/>
        </w:rPr>
      </w:pPr>
      <w:r>
        <w:br w:type="page"/>
      </w:r>
    </w:p>
    <w:p w:rsidR="00C00EA5" w:rsidRDefault="00C00EA5" w:rsidP="00C00EA5">
      <w:pPr>
        <w:pStyle w:val="Titolo1"/>
      </w:pPr>
      <w:r>
        <w:lastRenderedPageBreak/>
        <w:t xml:space="preserve">Possibilità di accesso al sistema informativo SISPREG2014 </w:t>
      </w:r>
    </w:p>
    <w:tbl>
      <w:tblPr>
        <w:tblStyle w:val="Grigliatabella"/>
        <w:tblW w:w="0" w:type="auto"/>
        <w:tblLayout w:type="fixed"/>
        <w:tblLook w:val="04A0" w:firstRow="1" w:lastRow="0" w:firstColumn="1" w:lastColumn="0" w:noHBand="0" w:noVBand="1"/>
      </w:tblPr>
      <w:tblGrid>
        <w:gridCol w:w="1809"/>
        <w:gridCol w:w="8045"/>
      </w:tblGrid>
      <w:tr w:rsidR="00C00EA5" w:rsidTr="00E66D06">
        <w:tc>
          <w:tcPr>
            <w:tcW w:w="1809" w:type="dxa"/>
          </w:tcPr>
          <w:p w:rsidR="00C00EA5" w:rsidRDefault="00C00EA5" w:rsidP="007D64FE">
            <w:pPr>
              <w:jc w:val="both"/>
            </w:pPr>
            <w:r>
              <w:t>Quesito</w:t>
            </w:r>
          </w:p>
        </w:tc>
        <w:tc>
          <w:tcPr>
            <w:tcW w:w="8045" w:type="dxa"/>
          </w:tcPr>
          <w:p w:rsidR="00C00EA5" w:rsidRDefault="00C00EA5" w:rsidP="001525EB">
            <w:pPr>
              <w:jc w:val="both"/>
            </w:pPr>
            <w:r>
              <w:t>E</w:t>
            </w:r>
            <w:r w:rsidR="001525EB">
              <w:t xml:space="preserve"> </w:t>
            </w:r>
            <w:r>
              <w:t>possibile</w:t>
            </w:r>
            <w:r w:rsidR="001525EB">
              <w:t xml:space="preserve"> </w:t>
            </w:r>
            <w:r>
              <w:t>caricare</w:t>
            </w:r>
            <w:r w:rsidR="001525EB">
              <w:t xml:space="preserve"> </w:t>
            </w:r>
            <w:r>
              <w:t>su SISPREG2014 la documentazione relativamente alla domanda di contributo in anticipo rispetto alla data di apertura della misura</w:t>
            </w:r>
            <w:r w:rsidR="001525EB">
              <w:t xml:space="preserve"> </w:t>
            </w:r>
            <w:r>
              <w:t xml:space="preserve">(lunedì 18 maggio h. 9:00)? </w:t>
            </w:r>
          </w:p>
        </w:tc>
      </w:tr>
      <w:tr w:rsidR="00C00EA5" w:rsidTr="00E66D06">
        <w:tc>
          <w:tcPr>
            <w:tcW w:w="1809" w:type="dxa"/>
          </w:tcPr>
          <w:p w:rsidR="00C00EA5" w:rsidRDefault="00C00EA5" w:rsidP="007D64FE">
            <w:pPr>
              <w:jc w:val="both"/>
            </w:pPr>
            <w:r>
              <w:t>Risposta</w:t>
            </w:r>
          </w:p>
        </w:tc>
        <w:tc>
          <w:tcPr>
            <w:tcW w:w="8045" w:type="dxa"/>
          </w:tcPr>
          <w:p w:rsidR="00E66D06" w:rsidRDefault="00E66D06" w:rsidP="00E66D06">
            <w:pPr>
              <w:jc w:val="both"/>
            </w:pPr>
            <w:r>
              <w:t>L’accesso a SISPREG2014 sarà possibile solo a partire dalla data di apertura dell’avviso (lunedì 18 maggio h. 9:00).</w:t>
            </w:r>
          </w:p>
          <w:p w:rsidR="00E66D06" w:rsidRDefault="00E66D06" w:rsidP="00E66D06">
            <w:pPr>
              <w:jc w:val="both"/>
            </w:pPr>
            <w:r>
              <w:t>Si fa presente che tutta la documentazione in formato editabile prevista</w:t>
            </w:r>
            <w:r w:rsidR="001525EB">
              <w:t xml:space="preserve"> </w:t>
            </w:r>
            <w:r>
              <w:t xml:space="preserve">per la presentazione delle domande di contributo è disponibile sul sito regionale, area tematica Energia, al seguente link: </w:t>
            </w:r>
          </w:p>
          <w:p w:rsidR="00C00EA5" w:rsidRDefault="008F40E7" w:rsidP="007D64FE">
            <w:pPr>
              <w:jc w:val="both"/>
            </w:pPr>
            <w:hyperlink r:id="rId9" w:history="1">
              <w:r w:rsidR="00E66D06" w:rsidRPr="00C87DE9">
                <w:rPr>
                  <w:rStyle w:val="Collegamentoipertestuale"/>
                </w:rPr>
                <w:t>https://www.regione.vda.it/energia/PO_FESR_2014-2020/avviso_ad_evidenza_pubblica_per_efficientamento_energetico_del_patrimonio_edilizio_pubblico_dei_comuni_e_delle_unites_des_communes_valdotaines_i.aspx</w:t>
              </w:r>
            </w:hyperlink>
            <w:r w:rsidR="00E66D06">
              <w:t xml:space="preserve"> </w:t>
            </w:r>
          </w:p>
        </w:tc>
      </w:tr>
    </w:tbl>
    <w:p w:rsidR="00C00EA5" w:rsidRDefault="00C00EA5" w:rsidP="00877F0B">
      <w:pPr>
        <w:spacing w:after="0" w:line="240" w:lineRule="auto"/>
        <w:jc w:val="both"/>
      </w:pPr>
    </w:p>
    <w:p w:rsidR="001673BE" w:rsidRDefault="001673BE" w:rsidP="00877F0B">
      <w:pPr>
        <w:spacing w:after="0" w:line="240" w:lineRule="auto"/>
        <w:jc w:val="both"/>
      </w:pPr>
    </w:p>
    <w:p w:rsidR="001673BE" w:rsidRDefault="00B962E5" w:rsidP="001673BE">
      <w:pPr>
        <w:pStyle w:val="Titolo1"/>
      </w:pPr>
      <w:r>
        <w:t>Modalità di svolgimento dell’istruttoria e progettazione</w:t>
      </w:r>
    </w:p>
    <w:tbl>
      <w:tblPr>
        <w:tblStyle w:val="Grigliatabella"/>
        <w:tblW w:w="0" w:type="auto"/>
        <w:tblLayout w:type="fixed"/>
        <w:tblLook w:val="04A0" w:firstRow="1" w:lastRow="0" w:firstColumn="1" w:lastColumn="0" w:noHBand="0" w:noVBand="1"/>
      </w:tblPr>
      <w:tblGrid>
        <w:gridCol w:w="1809"/>
        <w:gridCol w:w="8045"/>
      </w:tblGrid>
      <w:tr w:rsidR="001673BE" w:rsidRPr="00A56FFF" w:rsidTr="00320BC9">
        <w:tc>
          <w:tcPr>
            <w:tcW w:w="1809" w:type="dxa"/>
          </w:tcPr>
          <w:p w:rsidR="001673BE" w:rsidRPr="00A56FFF" w:rsidRDefault="001673BE" w:rsidP="00320BC9">
            <w:pPr>
              <w:jc w:val="both"/>
            </w:pPr>
            <w:r w:rsidRPr="00A56FFF">
              <w:t>Quesito</w:t>
            </w:r>
          </w:p>
        </w:tc>
        <w:tc>
          <w:tcPr>
            <w:tcW w:w="8045" w:type="dxa"/>
          </w:tcPr>
          <w:p w:rsidR="00B962E5" w:rsidRPr="00A56FFF" w:rsidRDefault="00B962E5" w:rsidP="00A56FFF">
            <w:pPr>
              <w:autoSpaceDE w:val="0"/>
              <w:autoSpaceDN w:val="0"/>
              <w:adjustRightInd w:val="0"/>
              <w:jc w:val="both"/>
              <w:rPr>
                <w:rFonts w:cs="Helv"/>
                <w:color w:val="000000"/>
              </w:rPr>
            </w:pPr>
            <w:r w:rsidRPr="00A56FFF">
              <w:rPr>
                <w:rFonts w:cs="Helv"/>
                <w:color w:val="000000"/>
              </w:rPr>
              <w:t>In riferimento all'avviso in oggetto, si richiede chiarimento sulle modalità di erogazione del contributo (scelta dei destinatari dello stesso).</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L'art. 4 prevede che l'entità del contributo sia tra un minimo di 30.000 ed un massimo di 400.000 euro</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L'art. 5 stabilisce come prima finestra temporale il periodo tra le ore 9.00 del 18/05/2020 e le ore 14.00 del 30/09/2020</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L'art. 6 stabilisce le modalità di valutazione delle domande e più precisamente:</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art. 6.1 lettera a) l'istruttoria formale da cui consegue l'ammissibilità ed il conseguente accesso a quella tecnica</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art. 6.1 lettera b) l'istruttoria tecnica con la quale vengono attribuiti i punteggi di idoneità ed il conseguente accesso a quella finanziaria (con un minimo di 30 punti)</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art. 6.1 lettera c) l'istruttoria finanziaria che determina se l'intervento sia finanziabile</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L'art. 6.2 stabilisce che le domande vengono istruite secondo l'ordine cronologico di invio telematico solo fino a quando vi è copertura finanziaria.</w:t>
            </w:r>
          </w:p>
          <w:p w:rsidR="00B962E5" w:rsidRPr="00A56FFF" w:rsidRDefault="00B962E5" w:rsidP="00A56FFF">
            <w:pPr>
              <w:autoSpaceDE w:val="0"/>
              <w:autoSpaceDN w:val="0"/>
              <w:adjustRightInd w:val="0"/>
              <w:spacing w:before="240"/>
              <w:jc w:val="both"/>
              <w:rPr>
                <w:rFonts w:cs="Helv"/>
                <w:color w:val="000000"/>
              </w:rPr>
            </w:pPr>
            <w:r w:rsidRPr="00A56FFF">
              <w:rPr>
                <w:rFonts w:cs="Helv"/>
                <w:color w:val="000000"/>
              </w:rPr>
              <w:t>La domanda quindi è: il punteggio di cui al citato art. 6.1 lettera b) è solo un mero sbarramento per l'accesso all'istruttoria finanziaria e (con il solo vincolo dei 30 punti) fa fede solo la velocità di invio telematico, oppure determina anche una graduatoria di merito?</w:t>
            </w:r>
          </w:p>
          <w:p w:rsidR="00B962E5" w:rsidRPr="00A56FFF" w:rsidRDefault="00B962E5" w:rsidP="00A56FFF">
            <w:pPr>
              <w:autoSpaceDE w:val="0"/>
              <w:autoSpaceDN w:val="0"/>
              <w:adjustRightInd w:val="0"/>
              <w:spacing w:before="240"/>
              <w:jc w:val="both"/>
              <w:rPr>
                <w:rFonts w:cs="Helv"/>
                <w:color w:val="000000"/>
              </w:rPr>
            </w:pPr>
            <w:r w:rsidRPr="00A56FFF">
              <w:rPr>
                <w:rFonts w:cs="Helv"/>
                <w:color w:val="000000"/>
              </w:rPr>
              <w:t>Se così fosse (cioè il solo vincolo dei 30 punti minimi), un intervento con un punteggio molto alto (magari anche prossimo a quello massimo e quindi meritevole di essere eseguito ed aiutato dal finanziamento) potrebbe essere fortemente penalizzato rispetto ad un intervento con punteggio più basso (magari pari o leggermente superiore alla soglia dei 30 punti) per la sola "colpa" di essere stato inviato anche solo qualche minuto più tardi...</w:t>
            </w:r>
          </w:p>
          <w:p w:rsidR="00B962E5" w:rsidRPr="00A56FFF" w:rsidRDefault="00B962E5" w:rsidP="00A56FFF">
            <w:pPr>
              <w:autoSpaceDE w:val="0"/>
              <w:autoSpaceDN w:val="0"/>
              <w:adjustRightInd w:val="0"/>
              <w:spacing w:before="240"/>
              <w:jc w:val="both"/>
              <w:rPr>
                <w:rFonts w:cs="Helv"/>
                <w:color w:val="000000"/>
              </w:rPr>
            </w:pPr>
            <w:r w:rsidRPr="00A56FFF">
              <w:rPr>
                <w:rFonts w:cs="Helv"/>
                <w:color w:val="000000"/>
              </w:rPr>
              <w:t xml:space="preserve">Si richiede quanto sopra anche alla luce del fatto che gli enti destinatari potrebbero avere la necessità di affidare incarico tecnico specifico per la predisposizione della </w:t>
            </w:r>
            <w:r w:rsidRPr="00A56FFF">
              <w:rPr>
                <w:rFonts w:cs="Helv"/>
                <w:color w:val="000000"/>
              </w:rPr>
              <w:lastRenderedPageBreak/>
              <w:t>documentazione, con una spesa che (considerati i tempi tecnici per l'affidamento e quelli per la redazione della documentazione) sarebbe quasi certamente inutile ai fini dell'ottenimento del contributo nel caso in cui si guardi più alla velocità dell'invio che al merito tecnico del progetto.</w:t>
            </w:r>
          </w:p>
          <w:p w:rsidR="001673BE" w:rsidRPr="00A56FFF" w:rsidRDefault="001673BE" w:rsidP="00A56FFF">
            <w:pPr>
              <w:jc w:val="both"/>
              <w:rPr>
                <w:rFonts w:cs="Helv"/>
                <w:color w:val="000000"/>
              </w:rPr>
            </w:pPr>
          </w:p>
        </w:tc>
      </w:tr>
      <w:tr w:rsidR="001673BE" w:rsidRPr="00A56FFF" w:rsidTr="00320BC9">
        <w:tc>
          <w:tcPr>
            <w:tcW w:w="1809" w:type="dxa"/>
          </w:tcPr>
          <w:p w:rsidR="001673BE" w:rsidRPr="00A56FFF" w:rsidRDefault="001673BE" w:rsidP="00320BC9">
            <w:pPr>
              <w:jc w:val="both"/>
            </w:pPr>
            <w:r w:rsidRPr="00A56FFF">
              <w:lastRenderedPageBreak/>
              <w:t>Risposta</w:t>
            </w:r>
          </w:p>
        </w:tc>
        <w:tc>
          <w:tcPr>
            <w:tcW w:w="8045" w:type="dxa"/>
          </w:tcPr>
          <w:p w:rsidR="00B962E5" w:rsidRPr="00A56FFF" w:rsidRDefault="00B962E5" w:rsidP="00A56FFF">
            <w:pPr>
              <w:autoSpaceDE w:val="0"/>
              <w:autoSpaceDN w:val="0"/>
              <w:adjustRightInd w:val="0"/>
              <w:jc w:val="both"/>
              <w:rPr>
                <w:rFonts w:cs="Helv"/>
                <w:color w:val="000000"/>
              </w:rPr>
            </w:pPr>
            <w:r w:rsidRPr="00A56FFF">
              <w:rPr>
                <w:rFonts w:cs="Helv"/>
                <w:color w:val="000000"/>
              </w:rPr>
              <w:t xml:space="preserve">Durante l'istruttoria tecnica </w:t>
            </w:r>
          </w:p>
          <w:p w:rsidR="00B962E5" w:rsidRPr="00A56FFF" w:rsidRDefault="00B962E5" w:rsidP="00A56FFF">
            <w:pPr>
              <w:autoSpaceDE w:val="0"/>
              <w:autoSpaceDN w:val="0"/>
              <w:adjustRightInd w:val="0"/>
              <w:jc w:val="both"/>
              <w:rPr>
                <w:rFonts w:cs="Helv"/>
                <w:color w:val="000000"/>
              </w:rPr>
            </w:pPr>
            <w:r w:rsidRPr="00A56FFF">
              <w:rPr>
                <w:rFonts w:cs="Helv"/>
                <w:color w:val="000000"/>
              </w:rPr>
              <w:t xml:space="preserve">1) vengono verificati: </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 xml:space="preserve">il rispetto dei requisiti di ammissibilità degli interventi di cui al paragrafo 3.3 </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 xml:space="preserve">il rispetto delle condizioni di ammissibilità di cui al paragrafo 3.4 </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 xml:space="preserve">l'ammissibilità delle spese con riferimento al paragrafo 3.6 </w:t>
            </w:r>
          </w:p>
          <w:p w:rsidR="00B962E5" w:rsidRPr="00A56FFF" w:rsidRDefault="00B962E5" w:rsidP="00A56F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 xml:space="preserve">2) viene verificato, fra l'altro, il raggiungimento del punteggio minimo di: </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8 punti, per il criterio c.1) Qualità della Scheda tecnico-economica di progetto (STEP);</w:t>
            </w:r>
          </w:p>
          <w:p w:rsidR="00B962E5" w:rsidRPr="00A56FFF" w:rsidRDefault="00B962E5" w:rsidP="00A56FFF">
            <w:pPr>
              <w:pStyle w:val="Paragrafoelenco"/>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r w:rsidRPr="00A56FFF">
              <w:rPr>
                <w:rFonts w:cs="Helv"/>
                <w:color w:val="000000"/>
              </w:rPr>
              <w:t>30 punti, pe il punteggio assegnato in istruttoria tecnica (punto 6.1, lett. b).</w:t>
            </w:r>
          </w:p>
          <w:p w:rsidR="00B962E5" w:rsidRPr="00A56FFF" w:rsidRDefault="00B962E5" w:rsidP="00A56FF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Helv"/>
                <w:color w:val="000000"/>
              </w:rPr>
            </w:pPr>
          </w:p>
          <w:p w:rsidR="00B962E5" w:rsidRPr="00A56FFF" w:rsidRDefault="00B962E5" w:rsidP="00A56FFF">
            <w:pPr>
              <w:autoSpaceDE w:val="0"/>
              <w:autoSpaceDN w:val="0"/>
              <w:adjustRightInd w:val="0"/>
              <w:jc w:val="both"/>
              <w:rPr>
                <w:rFonts w:cs="Helv"/>
                <w:color w:val="000000"/>
              </w:rPr>
            </w:pPr>
            <w:r w:rsidRPr="00A56FFF">
              <w:rPr>
                <w:rFonts w:cs="Helv"/>
                <w:color w:val="000000"/>
              </w:rPr>
              <w:t>Sulla base di quanto da lei correttamente ricostruito, si suggerisce un invio tempestivo della domanda, ma ciò non toglie che la qualità della prestazione professionale sia elemento fondamentale affinché il progetto vada correttamente a buon fine e che la pratica finanziata non abbia problemi in corso di realizzazione.</w:t>
            </w:r>
          </w:p>
          <w:p w:rsidR="00B962E5" w:rsidRPr="00A56FFF" w:rsidRDefault="00B962E5" w:rsidP="00A56FFF">
            <w:pPr>
              <w:autoSpaceDE w:val="0"/>
              <w:autoSpaceDN w:val="0"/>
              <w:adjustRightInd w:val="0"/>
              <w:jc w:val="both"/>
              <w:rPr>
                <w:rFonts w:cs="Helv"/>
                <w:color w:val="000000"/>
              </w:rPr>
            </w:pPr>
          </w:p>
          <w:p w:rsidR="00B962E5" w:rsidRPr="00A56FFF" w:rsidRDefault="00B962E5" w:rsidP="00A56FFF">
            <w:pPr>
              <w:autoSpaceDE w:val="0"/>
              <w:autoSpaceDN w:val="0"/>
              <w:adjustRightInd w:val="0"/>
              <w:jc w:val="both"/>
              <w:rPr>
                <w:rFonts w:cs="Helv"/>
                <w:color w:val="000000"/>
              </w:rPr>
            </w:pPr>
            <w:r w:rsidRPr="00A56FFF">
              <w:rPr>
                <w:rFonts w:cs="Helv"/>
                <w:color w:val="000000"/>
              </w:rPr>
              <w:t>Ricordiamo che la STEP (allegato 5 ) e la Relazione tecnico</w:t>
            </w:r>
            <w:r w:rsidRPr="00A56FFF">
              <w:rPr>
                <w:rFonts w:cs="Cambria Math"/>
                <w:color w:val="000000"/>
              </w:rPr>
              <w:t>‐</w:t>
            </w:r>
            <w:r w:rsidRPr="00A56FFF">
              <w:rPr>
                <w:rFonts w:cs="Helv"/>
                <w:color w:val="000000"/>
              </w:rPr>
              <w:t>economica finale sulla realizzazione dell’intervento e sul raggiungimento degli indicatori (allegato 8) devono essere sottoscritti da un tecnico abilitato, indicando gli estremi di iscrizione all’Ordine o al Collegio di appartenenza.</w:t>
            </w:r>
          </w:p>
          <w:p w:rsidR="001673BE" w:rsidRPr="00A56FFF" w:rsidRDefault="00B962E5" w:rsidP="00A56FFF">
            <w:pPr>
              <w:jc w:val="both"/>
            </w:pPr>
            <w:r w:rsidRPr="00A56FFF">
              <w:rPr>
                <w:rFonts w:cs="Helv"/>
                <w:color w:val="000000"/>
              </w:rPr>
              <w:t xml:space="preserve">Il tecnico può anche essere un dipendente comunale, </w:t>
            </w:r>
            <w:r w:rsidR="00A56FFF" w:rsidRPr="00A56FFF">
              <w:rPr>
                <w:rFonts w:cs="Helv"/>
                <w:color w:val="000000"/>
              </w:rPr>
              <w:t>purché</w:t>
            </w:r>
            <w:r w:rsidRPr="00A56FFF">
              <w:rPr>
                <w:rFonts w:cs="Helv"/>
                <w:color w:val="000000"/>
              </w:rPr>
              <w:t xml:space="preserve"> abbia i requisiti richiesti. Qualora tali elaborato siano oggetto di incarico esterno, si suggerisce di tenerne conto.</w:t>
            </w:r>
          </w:p>
        </w:tc>
      </w:tr>
    </w:tbl>
    <w:p w:rsidR="001673BE" w:rsidRPr="00A56FFF" w:rsidRDefault="001673BE" w:rsidP="001673BE">
      <w:pPr>
        <w:pStyle w:val="Titolo1"/>
        <w:rPr>
          <w:rFonts w:asciiTheme="minorHAnsi" w:hAnsiTheme="minorHAnsi"/>
          <w:sz w:val="22"/>
          <w:szCs w:val="22"/>
        </w:rPr>
      </w:pPr>
    </w:p>
    <w:tbl>
      <w:tblPr>
        <w:tblStyle w:val="Grigliatabella"/>
        <w:tblW w:w="0" w:type="auto"/>
        <w:tblLayout w:type="fixed"/>
        <w:tblLook w:val="04A0" w:firstRow="1" w:lastRow="0" w:firstColumn="1" w:lastColumn="0" w:noHBand="0" w:noVBand="1"/>
      </w:tblPr>
      <w:tblGrid>
        <w:gridCol w:w="1809"/>
        <w:gridCol w:w="8045"/>
      </w:tblGrid>
      <w:tr w:rsidR="001673BE" w:rsidRPr="00A56FFF" w:rsidTr="00320BC9">
        <w:tc>
          <w:tcPr>
            <w:tcW w:w="1809" w:type="dxa"/>
          </w:tcPr>
          <w:p w:rsidR="001673BE" w:rsidRPr="00A56FFF" w:rsidRDefault="001673BE" w:rsidP="00320BC9">
            <w:pPr>
              <w:jc w:val="both"/>
            </w:pPr>
            <w:r w:rsidRPr="00A56FFF">
              <w:t>Quesito</w:t>
            </w:r>
          </w:p>
        </w:tc>
        <w:tc>
          <w:tcPr>
            <w:tcW w:w="8045" w:type="dxa"/>
          </w:tcPr>
          <w:p w:rsidR="00C303C0" w:rsidRPr="00A56FFF" w:rsidRDefault="00C303C0" w:rsidP="00C303C0">
            <w:pPr>
              <w:jc w:val="both"/>
              <w:rPr>
                <w:rFonts w:cs="Helv"/>
                <w:color w:val="000000"/>
              </w:rPr>
            </w:pPr>
            <w:r w:rsidRPr="00A56FFF">
              <w:rPr>
                <w:rFonts w:cs="Helv"/>
                <w:color w:val="000000"/>
              </w:rPr>
              <w:t xml:space="preserve">All’art. 6.2 si legge che le domande vengono istruite secondo l’ordine cronologico di invio telematico, fino a quando vi è </w:t>
            </w:r>
          </w:p>
          <w:p w:rsidR="00C303C0" w:rsidRPr="00A56FFF" w:rsidRDefault="00C303C0" w:rsidP="00C303C0">
            <w:pPr>
              <w:jc w:val="both"/>
              <w:rPr>
                <w:rFonts w:cs="Helv"/>
                <w:color w:val="000000"/>
              </w:rPr>
            </w:pPr>
            <w:r w:rsidRPr="00A56FFF">
              <w:rPr>
                <w:rFonts w:cs="Helv"/>
                <w:color w:val="000000"/>
              </w:rPr>
              <w:t>copertura finanziaria sufficiente a garantire l’importo complessivo del contributo richiesto.</w:t>
            </w:r>
          </w:p>
          <w:p w:rsidR="00C303C0" w:rsidRPr="00A56FFF" w:rsidRDefault="00C303C0" w:rsidP="00C303C0">
            <w:pPr>
              <w:jc w:val="both"/>
              <w:rPr>
                <w:rFonts w:cs="Helv"/>
                <w:color w:val="000000"/>
              </w:rPr>
            </w:pPr>
            <w:r w:rsidRPr="00A56FFF">
              <w:rPr>
                <w:rFonts w:cs="Helv"/>
                <w:color w:val="000000"/>
              </w:rPr>
              <w:t>All’art. 6.3 si dice inoltre che al ricevimento della</w:t>
            </w:r>
            <w:r w:rsidR="00286CD3" w:rsidRPr="00A56FFF">
              <w:rPr>
                <w:rFonts w:cs="Helv"/>
                <w:color w:val="000000"/>
              </w:rPr>
              <w:t xml:space="preserve"> </w:t>
            </w:r>
            <w:r w:rsidRPr="00A56FFF">
              <w:rPr>
                <w:rFonts w:cs="Helv"/>
                <w:color w:val="000000"/>
              </w:rPr>
              <w:t>prima</w:t>
            </w:r>
            <w:r w:rsidR="00286CD3" w:rsidRPr="00A56FFF">
              <w:rPr>
                <w:rFonts w:cs="Helv"/>
                <w:color w:val="000000"/>
              </w:rPr>
              <w:t xml:space="preserve"> </w:t>
            </w:r>
            <w:r w:rsidRPr="00A56FFF">
              <w:rPr>
                <w:rFonts w:cs="Helv"/>
                <w:color w:val="000000"/>
              </w:rPr>
              <w:t>domanda</w:t>
            </w:r>
            <w:r w:rsidR="00286CD3" w:rsidRPr="00A56FFF">
              <w:rPr>
                <w:rFonts w:cs="Helv"/>
                <w:color w:val="000000"/>
              </w:rPr>
              <w:t xml:space="preserve"> </w:t>
            </w:r>
            <w:r w:rsidRPr="00A56FFF">
              <w:rPr>
                <w:rFonts w:cs="Helv"/>
                <w:color w:val="000000"/>
              </w:rPr>
              <w:t>che</w:t>
            </w:r>
            <w:r w:rsidR="00286CD3" w:rsidRPr="00A56FFF">
              <w:rPr>
                <w:rFonts w:cs="Helv"/>
                <w:color w:val="000000"/>
              </w:rPr>
              <w:t xml:space="preserve"> </w:t>
            </w:r>
            <w:r w:rsidRPr="00A56FFF">
              <w:rPr>
                <w:rFonts w:cs="Helv"/>
                <w:color w:val="000000"/>
              </w:rPr>
              <w:t>richiede</w:t>
            </w:r>
            <w:r w:rsidR="00286CD3" w:rsidRPr="00A56FFF">
              <w:rPr>
                <w:rFonts w:cs="Helv"/>
                <w:color w:val="000000"/>
              </w:rPr>
              <w:t xml:space="preserve"> </w:t>
            </w:r>
            <w:r w:rsidRPr="00A56FFF">
              <w:rPr>
                <w:rFonts w:cs="Helv"/>
                <w:color w:val="000000"/>
              </w:rPr>
              <w:t>un</w:t>
            </w:r>
            <w:r w:rsidR="00286CD3" w:rsidRPr="00A56FFF">
              <w:rPr>
                <w:rFonts w:cs="Helv"/>
                <w:color w:val="000000"/>
              </w:rPr>
              <w:t xml:space="preserve"> </w:t>
            </w:r>
            <w:r w:rsidRPr="00A56FFF">
              <w:rPr>
                <w:rFonts w:cs="Helv"/>
                <w:color w:val="000000"/>
              </w:rPr>
              <w:t>contributo</w:t>
            </w:r>
            <w:r w:rsidR="00286CD3" w:rsidRPr="00A56FFF">
              <w:rPr>
                <w:rFonts w:cs="Helv"/>
                <w:color w:val="000000"/>
              </w:rPr>
              <w:t xml:space="preserve"> </w:t>
            </w:r>
            <w:r w:rsidRPr="00A56FFF">
              <w:rPr>
                <w:rFonts w:cs="Helv"/>
                <w:color w:val="000000"/>
              </w:rPr>
              <w:t>superiore</w:t>
            </w:r>
            <w:r w:rsidR="00286CD3" w:rsidRPr="00A56FFF">
              <w:rPr>
                <w:rFonts w:cs="Helv"/>
                <w:color w:val="000000"/>
              </w:rPr>
              <w:t xml:space="preserve"> </w:t>
            </w:r>
            <w:r w:rsidRPr="00A56FFF">
              <w:rPr>
                <w:rFonts w:cs="Helv"/>
                <w:color w:val="000000"/>
              </w:rPr>
              <w:t>alla</w:t>
            </w:r>
            <w:r w:rsidR="00286CD3" w:rsidRPr="00A56FFF">
              <w:rPr>
                <w:rFonts w:cs="Helv"/>
                <w:color w:val="000000"/>
              </w:rPr>
              <w:t xml:space="preserve"> </w:t>
            </w:r>
            <w:r w:rsidRPr="00A56FFF">
              <w:rPr>
                <w:rFonts w:cs="Helv"/>
                <w:color w:val="000000"/>
              </w:rPr>
              <w:t>disponibilità</w:t>
            </w:r>
            <w:r w:rsidR="00286CD3" w:rsidRPr="00A56FFF">
              <w:rPr>
                <w:rFonts w:cs="Helv"/>
                <w:color w:val="000000"/>
              </w:rPr>
              <w:t xml:space="preserve"> </w:t>
            </w:r>
            <w:r w:rsidRPr="00A56FFF">
              <w:rPr>
                <w:rFonts w:cs="Helv"/>
                <w:color w:val="000000"/>
              </w:rPr>
              <w:t>dell’avviso, quest’ultimo viene chiuso e la pratica viene comunque istruita, secondo le modalità descritte al precedente paragrafo 6.2.</w:t>
            </w:r>
          </w:p>
          <w:p w:rsidR="00C303C0" w:rsidRPr="00A56FFF" w:rsidRDefault="00C303C0" w:rsidP="00C303C0">
            <w:pPr>
              <w:jc w:val="both"/>
              <w:rPr>
                <w:rFonts w:cs="Helv"/>
                <w:color w:val="000000"/>
              </w:rPr>
            </w:pPr>
            <w:r w:rsidRPr="00A56FFF">
              <w:rPr>
                <w:rFonts w:cs="Helv"/>
                <w:color w:val="000000"/>
              </w:rPr>
              <w:t>Quindi le valutazioni di ammissibilità, idoneità e finanziabilità vengono effettuate via via che le domande pervengo senza attendere la scadenza del bando fissata a settembre?</w:t>
            </w:r>
          </w:p>
          <w:p w:rsidR="001673BE" w:rsidRPr="00A56FFF" w:rsidRDefault="00C303C0" w:rsidP="00C303C0">
            <w:pPr>
              <w:jc w:val="both"/>
              <w:rPr>
                <w:rFonts w:cs="Helv"/>
                <w:color w:val="000000"/>
              </w:rPr>
            </w:pPr>
            <w:r w:rsidRPr="00A56FFF">
              <w:rPr>
                <w:rFonts w:cs="Helv"/>
                <w:color w:val="000000"/>
              </w:rPr>
              <w:t>Quindi la tempestività di presentazione di un progetto di media qualità potrebbe prevalere su un progetto eccellente ma presentato in tempi successivi alla chiusura del bando seppure entro i termini del 30/09/2020?</w:t>
            </w:r>
          </w:p>
        </w:tc>
      </w:tr>
      <w:tr w:rsidR="001673BE" w:rsidRPr="00A56FFF" w:rsidTr="00C303C0">
        <w:tc>
          <w:tcPr>
            <w:tcW w:w="1809" w:type="dxa"/>
          </w:tcPr>
          <w:p w:rsidR="001673BE" w:rsidRPr="00A56FFF" w:rsidRDefault="001673BE" w:rsidP="00320BC9">
            <w:pPr>
              <w:jc w:val="both"/>
            </w:pPr>
            <w:r w:rsidRPr="00A56FFF">
              <w:t>Risposta</w:t>
            </w:r>
          </w:p>
        </w:tc>
        <w:tc>
          <w:tcPr>
            <w:tcW w:w="8045" w:type="dxa"/>
          </w:tcPr>
          <w:p w:rsidR="00C303C0" w:rsidRPr="00A56FFF" w:rsidRDefault="00C303C0" w:rsidP="00C303C0">
            <w:pPr>
              <w:jc w:val="both"/>
              <w:rPr>
                <w:rFonts w:cs="Helv"/>
                <w:color w:val="000000"/>
              </w:rPr>
            </w:pPr>
            <w:r w:rsidRPr="00A56FFF">
              <w:rPr>
                <w:rFonts w:cs="Helv"/>
                <w:color w:val="000000"/>
              </w:rPr>
              <w:t>Le valutazioni di ammissibilità, idoneità e finanziabilità vengono effettuate via via che le domande pervengo senza attendere la scadenza del bando fissata a settembre</w:t>
            </w:r>
            <w:r w:rsidR="00286CD3" w:rsidRPr="00A56FFF">
              <w:rPr>
                <w:rFonts w:cs="Helv"/>
                <w:color w:val="000000"/>
              </w:rPr>
              <w:t xml:space="preserve"> </w:t>
            </w:r>
            <w:r w:rsidRPr="00A56FFF">
              <w:rPr>
                <w:rFonts w:cs="Helv"/>
                <w:color w:val="000000"/>
              </w:rPr>
              <w:t xml:space="preserve">il bando è a sportello, per cui le domande verranno istruite man mano, secondo i tempi previsti per l'istruttoria (60 gg complessivi), senza attendere la scadenza di settembre. Pertanto prima di presenta domanda, maggiori sono le probabilità di trovare copertura finanziaria. </w:t>
            </w:r>
          </w:p>
          <w:p w:rsidR="001673BE" w:rsidRPr="00A56FFF" w:rsidRDefault="00C303C0" w:rsidP="00C303C0">
            <w:pPr>
              <w:jc w:val="both"/>
              <w:rPr>
                <w:rFonts w:cs="Helv"/>
                <w:color w:val="000000"/>
              </w:rPr>
            </w:pPr>
            <w:r w:rsidRPr="00A56FFF">
              <w:rPr>
                <w:rFonts w:cs="Helv"/>
                <w:color w:val="000000"/>
              </w:rPr>
              <w:t xml:space="preserve">La tempestività di presentazione di un progetto di media qualità potrebbe prevalere su un progetto eccellente ma presentato in tempi successivi alla chiusura del bando </w:t>
            </w:r>
            <w:r w:rsidRPr="00A56FFF">
              <w:rPr>
                <w:rFonts w:cs="Helv"/>
                <w:color w:val="000000"/>
              </w:rPr>
              <w:lastRenderedPageBreak/>
              <w:t>seppure entro i termini del 30/09/2020. . L'essenziale è che il progetto presentato raggiunga i punteggi minimi previsti al paragrafo 6.1 del bando.</w:t>
            </w:r>
          </w:p>
        </w:tc>
      </w:tr>
    </w:tbl>
    <w:p w:rsidR="001673BE" w:rsidRPr="00A56FFF" w:rsidRDefault="001673BE" w:rsidP="001673BE">
      <w:pPr>
        <w:spacing w:after="0" w:line="240" w:lineRule="auto"/>
        <w:jc w:val="both"/>
      </w:pPr>
    </w:p>
    <w:p w:rsidR="001673BE" w:rsidRDefault="001673BE" w:rsidP="001673BE">
      <w:pPr>
        <w:spacing w:after="0" w:line="240" w:lineRule="auto"/>
        <w:jc w:val="both"/>
      </w:pPr>
    </w:p>
    <w:p w:rsidR="001673BE" w:rsidRDefault="00286CD3" w:rsidP="001673BE">
      <w:pPr>
        <w:pStyle w:val="Titolo1"/>
      </w:pPr>
      <w:r>
        <w:t>Interventi su stabili destinati a edilizia abitativa convenzionata</w:t>
      </w:r>
    </w:p>
    <w:tbl>
      <w:tblPr>
        <w:tblStyle w:val="Grigliatabella"/>
        <w:tblW w:w="0" w:type="auto"/>
        <w:tblLayout w:type="fixed"/>
        <w:tblLook w:val="04A0" w:firstRow="1" w:lastRow="0" w:firstColumn="1" w:lastColumn="0" w:noHBand="0" w:noVBand="1"/>
      </w:tblPr>
      <w:tblGrid>
        <w:gridCol w:w="1809"/>
        <w:gridCol w:w="8045"/>
      </w:tblGrid>
      <w:tr w:rsidR="001673BE" w:rsidRPr="00A56FFF" w:rsidTr="00320BC9">
        <w:tc>
          <w:tcPr>
            <w:tcW w:w="1809" w:type="dxa"/>
          </w:tcPr>
          <w:p w:rsidR="001673BE" w:rsidRPr="00A56FFF" w:rsidRDefault="001673BE" w:rsidP="00320BC9">
            <w:pPr>
              <w:jc w:val="both"/>
            </w:pPr>
            <w:r w:rsidRPr="00A56FFF">
              <w:t>Quesito</w:t>
            </w:r>
          </w:p>
        </w:tc>
        <w:tc>
          <w:tcPr>
            <w:tcW w:w="8045" w:type="dxa"/>
          </w:tcPr>
          <w:p w:rsidR="001673BE" w:rsidRPr="00A56FFF" w:rsidRDefault="00286CD3" w:rsidP="00286CD3">
            <w:pPr>
              <w:jc w:val="both"/>
              <w:rPr>
                <w:rFonts w:cs="Helv"/>
                <w:color w:val="000000"/>
              </w:rPr>
            </w:pPr>
            <w:r w:rsidRPr="00A56FFF">
              <w:rPr>
                <w:rFonts w:cs="Helv"/>
                <w:color w:val="000000"/>
              </w:rPr>
              <w:t>Si chiede se sono ammissibili interventi su stabili comunali utilizzati dall'ARER come alloggi di edilizia abitativa convenzionata.</w:t>
            </w:r>
          </w:p>
        </w:tc>
      </w:tr>
      <w:tr w:rsidR="001673BE" w:rsidRPr="00A56FFF" w:rsidTr="00320BC9">
        <w:tc>
          <w:tcPr>
            <w:tcW w:w="1809" w:type="dxa"/>
          </w:tcPr>
          <w:p w:rsidR="001673BE" w:rsidRPr="00A56FFF" w:rsidRDefault="001673BE" w:rsidP="00320BC9">
            <w:pPr>
              <w:jc w:val="both"/>
            </w:pPr>
            <w:r w:rsidRPr="00A56FFF">
              <w:t>Risposta</w:t>
            </w:r>
          </w:p>
        </w:tc>
        <w:tc>
          <w:tcPr>
            <w:tcW w:w="8045" w:type="dxa"/>
          </w:tcPr>
          <w:p w:rsidR="00286CD3" w:rsidRPr="00A56FFF" w:rsidRDefault="00286CD3" w:rsidP="00286CD3">
            <w:pPr>
              <w:jc w:val="both"/>
              <w:rPr>
                <w:rFonts w:cs="Helv"/>
                <w:color w:val="000000"/>
              </w:rPr>
            </w:pPr>
            <w:r w:rsidRPr="00A56FFF">
              <w:rPr>
                <w:rFonts w:cs="Helv"/>
                <w:color w:val="000000"/>
              </w:rPr>
              <w:t>ai sensi del paragrafo 3.2 dell'avviso, l'edificio deve essere adibito "ad uso pubblico [ Ai sensi dell’art. 2, comma 1, lettera l-sexies), del d. lgs. 192/2005, per “edificio adibito ad uso pubblico" si intende l’edificio nel quale si svolge, in tutto o in parte, l'attività istituzionale di enti pubblici.] anche in via non esclusiva (a titolo di esempio: attività istituzionali, sociali, scolastiche, sanitarie, formative, assistenziali, ricreative, culturali e sportive)".</w:t>
            </w:r>
          </w:p>
          <w:p w:rsidR="00286CD3" w:rsidRPr="00A56FFF" w:rsidRDefault="00286CD3" w:rsidP="00286CD3">
            <w:pPr>
              <w:jc w:val="both"/>
              <w:rPr>
                <w:rFonts w:cs="Helv"/>
                <w:color w:val="000000"/>
              </w:rPr>
            </w:pPr>
            <w:r w:rsidRPr="00A56FFF">
              <w:rPr>
                <w:rFonts w:cs="Helv"/>
                <w:color w:val="000000"/>
              </w:rPr>
              <w:t xml:space="preserve">Sulla base degli approfondimenti condotti in fase di predisposizione del bando, l'"uso "residenziale", per quanto nell'ambito dell'edilizia abitativa convenzionata, non è strettamente riconducibile ad un uso pubblico. </w:t>
            </w:r>
          </w:p>
          <w:p w:rsidR="00286CD3" w:rsidRPr="00A56FFF" w:rsidRDefault="00286CD3" w:rsidP="00286CD3">
            <w:pPr>
              <w:jc w:val="both"/>
              <w:rPr>
                <w:rFonts w:cs="Helv"/>
                <w:color w:val="000000"/>
              </w:rPr>
            </w:pPr>
            <w:r w:rsidRPr="00A56FFF">
              <w:rPr>
                <w:rFonts w:cs="Helv"/>
                <w:color w:val="000000"/>
              </w:rPr>
              <w:t>Pertanto un uso residenziale è ammissibile esclusivamente a condizioni che l’edificio sia adibito a residenziale "in via non esclusiva": a titolo di esempio, una scuola che ha, al suo interno, l'alloggio del custode.</w:t>
            </w:r>
          </w:p>
          <w:p w:rsidR="001673BE" w:rsidRPr="00A56FFF" w:rsidRDefault="00286CD3" w:rsidP="00286CD3">
            <w:pPr>
              <w:jc w:val="both"/>
              <w:rPr>
                <w:rFonts w:cs="Helv"/>
                <w:color w:val="000000"/>
              </w:rPr>
            </w:pPr>
            <w:r w:rsidRPr="00A56FFF">
              <w:rPr>
                <w:rFonts w:cs="Helv"/>
                <w:color w:val="000000"/>
              </w:rPr>
              <w:t>Stabili comunali destinati in via esclusiva a edilizia abitativa convenzionata non risultano ammissibili al contributo di cui alla dGr 323/20.</w:t>
            </w:r>
          </w:p>
        </w:tc>
      </w:tr>
    </w:tbl>
    <w:p w:rsidR="001673BE" w:rsidRPr="00A56FFF" w:rsidRDefault="001673BE" w:rsidP="001673BE">
      <w:pPr>
        <w:spacing w:after="0" w:line="240" w:lineRule="auto"/>
        <w:jc w:val="both"/>
      </w:pPr>
    </w:p>
    <w:p w:rsidR="001673BE" w:rsidRPr="00A56FFF" w:rsidRDefault="001673BE" w:rsidP="00877F0B">
      <w:pPr>
        <w:spacing w:after="0" w:line="240" w:lineRule="auto"/>
        <w:jc w:val="both"/>
      </w:pPr>
    </w:p>
    <w:p w:rsidR="00A06246" w:rsidRDefault="00A06246" w:rsidP="00877F0B">
      <w:pPr>
        <w:spacing w:after="0" w:line="240" w:lineRule="auto"/>
        <w:jc w:val="both"/>
      </w:pPr>
    </w:p>
    <w:p w:rsidR="00A06246" w:rsidRPr="00A06246" w:rsidRDefault="00A06246" w:rsidP="00877F0B">
      <w:pPr>
        <w:spacing w:after="0" w:line="240" w:lineRule="auto"/>
        <w:jc w:val="both"/>
      </w:pPr>
    </w:p>
    <w:p w:rsidR="00A06246" w:rsidRPr="00A06246" w:rsidRDefault="00A06246" w:rsidP="00877F0B">
      <w:pPr>
        <w:spacing w:after="0" w:line="240" w:lineRule="auto"/>
        <w:jc w:val="both"/>
      </w:pPr>
    </w:p>
    <w:p w:rsidR="00A06246" w:rsidRPr="00A06246" w:rsidRDefault="00A06246" w:rsidP="00877F0B">
      <w:pPr>
        <w:spacing w:after="0" w:line="240" w:lineRule="auto"/>
        <w:jc w:val="both"/>
      </w:pPr>
    </w:p>
    <w:p w:rsidR="00A06246" w:rsidRPr="00A06246" w:rsidRDefault="00A06246" w:rsidP="00877F0B">
      <w:pPr>
        <w:spacing w:after="0" w:line="240" w:lineRule="auto"/>
        <w:jc w:val="both"/>
      </w:pPr>
    </w:p>
    <w:p w:rsidR="00A06246" w:rsidRDefault="00A06246" w:rsidP="00A06246"/>
    <w:sectPr w:rsidR="00A06246">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C6" w:rsidRDefault="00EB78C6" w:rsidP="00A06246">
      <w:pPr>
        <w:spacing w:after="0" w:line="240" w:lineRule="auto"/>
      </w:pPr>
      <w:r>
        <w:separator/>
      </w:r>
    </w:p>
  </w:endnote>
  <w:endnote w:type="continuationSeparator" w:id="0">
    <w:p w:rsidR="00EB78C6" w:rsidRDefault="00EB78C6" w:rsidP="00A0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0B" w:rsidRPr="00877F0B" w:rsidRDefault="00877F0B" w:rsidP="00877F0B">
    <w:pPr>
      <w:pStyle w:val="Pidipagina"/>
      <w:pBdr>
        <w:top w:val="single" w:sz="4" w:space="1" w:color="auto"/>
      </w:pBdr>
      <w:rPr>
        <w:sz w:val="18"/>
        <w:szCs w:val="20"/>
      </w:rPr>
    </w:pPr>
    <w:r w:rsidRPr="00422E7F">
      <w:rPr>
        <w:sz w:val="18"/>
        <w:szCs w:val="20"/>
      </w:rPr>
      <w:fldChar w:fldCharType="begin"/>
    </w:r>
    <w:r w:rsidRPr="00316151">
      <w:rPr>
        <w:sz w:val="18"/>
        <w:szCs w:val="20"/>
      </w:rPr>
      <w:instrText xml:space="preserve"> FILENAME   \* MERGEFORMAT </w:instrText>
    </w:r>
    <w:r w:rsidRPr="00422E7F">
      <w:rPr>
        <w:sz w:val="18"/>
        <w:szCs w:val="20"/>
      </w:rPr>
      <w:fldChar w:fldCharType="separate"/>
    </w:r>
    <w:r w:rsidR="001673BE">
      <w:rPr>
        <w:noProof/>
        <w:sz w:val="18"/>
        <w:szCs w:val="20"/>
      </w:rPr>
      <w:t>FAQ - aggiornamento 2020.06.26</w:t>
    </w:r>
    <w:r w:rsidRPr="00422E7F">
      <w:rPr>
        <w:noProof/>
        <w:sz w:val="18"/>
        <w:szCs w:val="20"/>
      </w:rPr>
      <w:fldChar w:fldCharType="end"/>
    </w:r>
    <w:r w:rsidRPr="00316151">
      <w:rPr>
        <w:sz w:val="18"/>
        <w:szCs w:val="20"/>
      </w:rPr>
      <w:tab/>
    </w:r>
    <w:r w:rsidRPr="00422E7F">
      <w:rPr>
        <w:sz w:val="18"/>
        <w:szCs w:val="20"/>
      </w:rPr>
      <w:fldChar w:fldCharType="begin"/>
    </w:r>
    <w:r w:rsidRPr="00316151">
      <w:rPr>
        <w:sz w:val="18"/>
        <w:szCs w:val="20"/>
      </w:rPr>
      <w:instrText xml:space="preserve"> PAGE   \* MERGEFORMAT </w:instrText>
    </w:r>
    <w:r w:rsidRPr="00422E7F">
      <w:rPr>
        <w:sz w:val="18"/>
        <w:szCs w:val="20"/>
      </w:rPr>
      <w:fldChar w:fldCharType="separate"/>
    </w:r>
    <w:r w:rsidR="008F40E7">
      <w:rPr>
        <w:noProof/>
        <w:sz w:val="18"/>
        <w:szCs w:val="20"/>
      </w:rPr>
      <w:t>1</w:t>
    </w:r>
    <w:r w:rsidRPr="00422E7F">
      <w:rPr>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C6" w:rsidRDefault="00EB78C6" w:rsidP="00A06246">
      <w:pPr>
        <w:spacing w:after="0" w:line="240" w:lineRule="auto"/>
      </w:pPr>
      <w:r>
        <w:separator/>
      </w:r>
    </w:p>
  </w:footnote>
  <w:footnote w:type="continuationSeparator" w:id="0">
    <w:p w:rsidR="00EB78C6" w:rsidRDefault="00EB78C6" w:rsidP="00A06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32"/>
      <w:gridCol w:w="2443"/>
      <w:gridCol w:w="2501"/>
    </w:tblGrid>
    <w:tr w:rsidR="00A06246" w:rsidRPr="00A45112" w:rsidTr="007D64FE">
      <w:tc>
        <w:tcPr>
          <w:tcW w:w="2544" w:type="dxa"/>
        </w:tcPr>
        <w:p w:rsidR="00A06246" w:rsidRDefault="00A06246" w:rsidP="007D64FE">
          <w:pPr>
            <w:pStyle w:val="Intestazione"/>
            <w:rPr>
              <w:rFonts w:ascii="Times New Roman" w:hAnsi="Times New Roman"/>
              <w:sz w:val="10"/>
              <w:szCs w:val="10"/>
              <w:lang w:bidi="en-US"/>
            </w:rPr>
          </w:pPr>
        </w:p>
        <w:p w:rsidR="00A06246" w:rsidRDefault="00A06246" w:rsidP="007D64FE">
          <w:pPr>
            <w:pStyle w:val="Intestazione"/>
            <w:jc w:val="center"/>
            <w:rPr>
              <w:sz w:val="10"/>
              <w:szCs w:val="10"/>
              <w:lang w:bidi="en-US"/>
            </w:rPr>
          </w:pPr>
          <w:r>
            <w:rPr>
              <w:noProof/>
              <w:lang w:eastAsia="it-IT"/>
            </w:rPr>
            <w:drawing>
              <wp:inline distT="0" distB="0" distL="0" distR="0" wp14:anchorId="3C2C5A2D" wp14:editId="0C8C43BF">
                <wp:extent cx="962025" cy="653415"/>
                <wp:effectExtent l="0" t="0" r="9525" b="0"/>
                <wp:docPr id="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53415"/>
                        </a:xfrm>
                        <a:prstGeom prst="rect">
                          <a:avLst/>
                        </a:prstGeom>
                        <a:noFill/>
                        <a:ln>
                          <a:noFill/>
                        </a:ln>
                      </pic:spPr>
                    </pic:pic>
                  </a:graphicData>
                </a:graphic>
              </wp:inline>
            </w:drawing>
          </w:r>
        </w:p>
      </w:tc>
      <w:tc>
        <w:tcPr>
          <w:tcW w:w="2544" w:type="dxa"/>
          <w:hideMark/>
        </w:tcPr>
        <w:p w:rsidR="00A06246" w:rsidRDefault="00A06246" w:rsidP="007D64FE">
          <w:pPr>
            <w:pStyle w:val="Intestazione"/>
            <w:jc w:val="center"/>
            <w:rPr>
              <w:sz w:val="10"/>
              <w:szCs w:val="10"/>
              <w:lang w:bidi="en-US"/>
            </w:rPr>
          </w:pPr>
          <w:r>
            <w:rPr>
              <w:noProof/>
              <w:sz w:val="18"/>
              <w:szCs w:val="18"/>
              <w:lang w:eastAsia="it-IT"/>
            </w:rPr>
            <w:drawing>
              <wp:inline distT="0" distB="0" distL="0" distR="0" wp14:anchorId="7C0FB03A" wp14:editId="00E8A9F8">
                <wp:extent cx="617220" cy="700405"/>
                <wp:effectExtent l="0" t="0" r="0" b="4445"/>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700405"/>
                        </a:xfrm>
                        <a:prstGeom prst="rect">
                          <a:avLst/>
                        </a:prstGeom>
                        <a:noFill/>
                        <a:ln>
                          <a:noFill/>
                        </a:ln>
                      </pic:spPr>
                    </pic:pic>
                  </a:graphicData>
                </a:graphic>
              </wp:inline>
            </w:drawing>
          </w:r>
        </w:p>
      </w:tc>
      <w:tc>
        <w:tcPr>
          <w:tcW w:w="2544" w:type="dxa"/>
          <w:hideMark/>
        </w:tcPr>
        <w:p w:rsidR="00A06246" w:rsidRDefault="00A06246" w:rsidP="007D64FE">
          <w:pPr>
            <w:pStyle w:val="Intestazione"/>
            <w:jc w:val="center"/>
            <w:rPr>
              <w:sz w:val="10"/>
              <w:szCs w:val="10"/>
              <w:lang w:bidi="en-US"/>
            </w:rPr>
          </w:pPr>
          <w:r>
            <w:rPr>
              <w:noProof/>
              <w:sz w:val="18"/>
              <w:szCs w:val="18"/>
              <w:lang w:eastAsia="it-IT"/>
            </w:rPr>
            <w:drawing>
              <wp:inline distT="0" distB="0" distL="0" distR="0" wp14:anchorId="78CD3D2C" wp14:editId="74B0B605">
                <wp:extent cx="700405" cy="712470"/>
                <wp:effectExtent l="0" t="0" r="444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0405" cy="712470"/>
                        </a:xfrm>
                        <a:prstGeom prst="rect">
                          <a:avLst/>
                        </a:prstGeom>
                        <a:noFill/>
                        <a:ln>
                          <a:noFill/>
                        </a:ln>
                      </pic:spPr>
                    </pic:pic>
                  </a:graphicData>
                </a:graphic>
              </wp:inline>
            </w:drawing>
          </w:r>
        </w:p>
      </w:tc>
      <w:tc>
        <w:tcPr>
          <w:tcW w:w="2545" w:type="dxa"/>
          <w:hideMark/>
        </w:tcPr>
        <w:p w:rsidR="00A06246" w:rsidRDefault="00A06246" w:rsidP="007D64FE">
          <w:pPr>
            <w:pStyle w:val="Intestazione"/>
            <w:jc w:val="center"/>
            <w:rPr>
              <w:sz w:val="10"/>
              <w:szCs w:val="10"/>
              <w:lang w:bidi="en-US"/>
            </w:rPr>
          </w:pPr>
          <w:r>
            <w:rPr>
              <w:noProof/>
              <w:sz w:val="18"/>
              <w:szCs w:val="18"/>
              <w:lang w:eastAsia="it-IT"/>
            </w:rPr>
            <w:drawing>
              <wp:inline distT="0" distB="0" distL="0" distR="0" wp14:anchorId="3A43DEEB" wp14:editId="58CBB603">
                <wp:extent cx="1139825" cy="890905"/>
                <wp:effectExtent l="0" t="0" r="3175"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9825" cy="890905"/>
                        </a:xfrm>
                        <a:prstGeom prst="rect">
                          <a:avLst/>
                        </a:prstGeom>
                        <a:noFill/>
                        <a:ln>
                          <a:noFill/>
                        </a:ln>
                      </pic:spPr>
                    </pic:pic>
                  </a:graphicData>
                </a:graphic>
              </wp:inline>
            </w:drawing>
          </w:r>
        </w:p>
      </w:tc>
    </w:tr>
  </w:tbl>
  <w:p w:rsidR="00A06246" w:rsidRPr="00A06246" w:rsidRDefault="00A06246">
    <w:pPr>
      <w:pStyle w:val="Intestazione"/>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D7496"/>
    <w:multiLevelType w:val="hybridMultilevel"/>
    <w:tmpl w:val="C5D86BC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5D"/>
    <w:rsid w:val="00037054"/>
    <w:rsid w:val="0004188D"/>
    <w:rsid w:val="00041D48"/>
    <w:rsid w:val="00095503"/>
    <w:rsid w:val="000A4336"/>
    <w:rsid w:val="0013256A"/>
    <w:rsid w:val="001525EB"/>
    <w:rsid w:val="001673BE"/>
    <w:rsid w:val="00212D63"/>
    <w:rsid w:val="00256533"/>
    <w:rsid w:val="00263E23"/>
    <w:rsid w:val="00286CD3"/>
    <w:rsid w:val="002B59D9"/>
    <w:rsid w:val="0039786B"/>
    <w:rsid w:val="00650917"/>
    <w:rsid w:val="00805717"/>
    <w:rsid w:val="00877F0B"/>
    <w:rsid w:val="008F40E7"/>
    <w:rsid w:val="00973D06"/>
    <w:rsid w:val="00A06246"/>
    <w:rsid w:val="00A30AD7"/>
    <w:rsid w:val="00A56FFF"/>
    <w:rsid w:val="00B269FD"/>
    <w:rsid w:val="00B60358"/>
    <w:rsid w:val="00B962E5"/>
    <w:rsid w:val="00B9675D"/>
    <w:rsid w:val="00C00EA5"/>
    <w:rsid w:val="00C303C0"/>
    <w:rsid w:val="00E66D06"/>
    <w:rsid w:val="00EB78C6"/>
    <w:rsid w:val="00FA0C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A4336"/>
    <w:pPr>
      <w:keepNext/>
      <w:keepLines/>
      <w:spacing w:after="240" w:line="240" w:lineRule="auto"/>
      <w:outlineLvl w:val="0"/>
    </w:pPr>
    <w:rPr>
      <w:rFonts w:asciiTheme="majorHAnsi" w:eastAsiaTheme="majorEastAsia" w:hAnsiTheme="majorHAnsi" w:cstheme="majorBidi"/>
      <w:b/>
      <w:bCs/>
      <w:color w:val="0033CC"/>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A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A4336"/>
    <w:rPr>
      <w:rFonts w:asciiTheme="majorHAnsi" w:eastAsiaTheme="majorEastAsia" w:hAnsiTheme="majorHAnsi" w:cstheme="majorBidi"/>
      <w:b/>
      <w:bCs/>
      <w:color w:val="0033CC"/>
      <w:sz w:val="24"/>
      <w:szCs w:val="28"/>
    </w:rPr>
  </w:style>
  <w:style w:type="paragraph" w:styleId="Titolo">
    <w:name w:val="Title"/>
    <w:basedOn w:val="Titolo1"/>
    <w:next w:val="Normale"/>
    <w:link w:val="TitoloCarattere"/>
    <w:uiPriority w:val="10"/>
    <w:qFormat/>
    <w:rsid w:val="000A4336"/>
    <w:pPr>
      <w:jc w:val="both"/>
    </w:pPr>
    <w:rPr>
      <w:sz w:val="28"/>
    </w:rPr>
  </w:style>
  <w:style w:type="character" w:customStyle="1" w:styleId="TitoloCarattere">
    <w:name w:val="Titolo Carattere"/>
    <w:basedOn w:val="Carpredefinitoparagrafo"/>
    <w:link w:val="Titolo"/>
    <w:uiPriority w:val="10"/>
    <w:rsid w:val="000A4336"/>
    <w:rPr>
      <w:rFonts w:asciiTheme="majorHAnsi" w:eastAsiaTheme="majorEastAsia" w:hAnsiTheme="majorHAnsi" w:cstheme="majorBidi"/>
      <w:b/>
      <w:bCs/>
      <w:color w:val="0033CC"/>
      <w:sz w:val="28"/>
      <w:szCs w:val="28"/>
    </w:rPr>
  </w:style>
  <w:style w:type="character" w:styleId="Collegamentoipertestuale">
    <w:name w:val="Hyperlink"/>
    <w:basedOn w:val="Carpredefinitoparagrafo"/>
    <w:uiPriority w:val="99"/>
    <w:unhideWhenUsed/>
    <w:rsid w:val="0004188D"/>
    <w:rPr>
      <w:color w:val="0000FF" w:themeColor="hyperlink"/>
      <w:u w:val="single"/>
    </w:rPr>
  </w:style>
  <w:style w:type="paragraph" w:styleId="Intestazione">
    <w:name w:val="header"/>
    <w:basedOn w:val="Normale"/>
    <w:link w:val="IntestazioneCarattere"/>
    <w:uiPriority w:val="99"/>
    <w:unhideWhenUsed/>
    <w:rsid w:val="00A062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6246"/>
  </w:style>
  <w:style w:type="paragraph" w:styleId="Pidipagina">
    <w:name w:val="footer"/>
    <w:basedOn w:val="Normale"/>
    <w:link w:val="PidipaginaCarattere"/>
    <w:uiPriority w:val="99"/>
    <w:unhideWhenUsed/>
    <w:rsid w:val="00A062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6246"/>
  </w:style>
  <w:style w:type="paragraph" w:styleId="Testofumetto">
    <w:name w:val="Balloon Text"/>
    <w:basedOn w:val="Normale"/>
    <w:link w:val="TestofumettoCarattere"/>
    <w:uiPriority w:val="99"/>
    <w:semiHidden/>
    <w:unhideWhenUsed/>
    <w:rsid w:val="00A062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246"/>
    <w:rPr>
      <w:rFonts w:ascii="Tahoma" w:hAnsi="Tahoma" w:cs="Tahoma"/>
      <w:sz w:val="16"/>
      <w:szCs w:val="16"/>
    </w:rPr>
  </w:style>
  <w:style w:type="paragraph" w:styleId="Paragrafoelenco">
    <w:name w:val="List Paragraph"/>
    <w:basedOn w:val="Normale"/>
    <w:uiPriority w:val="34"/>
    <w:qFormat/>
    <w:rsid w:val="00B962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A4336"/>
    <w:pPr>
      <w:keepNext/>
      <w:keepLines/>
      <w:spacing w:after="240" w:line="240" w:lineRule="auto"/>
      <w:outlineLvl w:val="0"/>
    </w:pPr>
    <w:rPr>
      <w:rFonts w:asciiTheme="majorHAnsi" w:eastAsiaTheme="majorEastAsia" w:hAnsiTheme="majorHAnsi" w:cstheme="majorBidi"/>
      <w:b/>
      <w:bCs/>
      <w:color w:val="0033CC"/>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A4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0A4336"/>
    <w:rPr>
      <w:rFonts w:asciiTheme="majorHAnsi" w:eastAsiaTheme="majorEastAsia" w:hAnsiTheme="majorHAnsi" w:cstheme="majorBidi"/>
      <w:b/>
      <w:bCs/>
      <w:color w:val="0033CC"/>
      <w:sz w:val="24"/>
      <w:szCs w:val="28"/>
    </w:rPr>
  </w:style>
  <w:style w:type="paragraph" w:styleId="Titolo">
    <w:name w:val="Title"/>
    <w:basedOn w:val="Titolo1"/>
    <w:next w:val="Normale"/>
    <w:link w:val="TitoloCarattere"/>
    <w:uiPriority w:val="10"/>
    <w:qFormat/>
    <w:rsid w:val="000A4336"/>
    <w:pPr>
      <w:jc w:val="both"/>
    </w:pPr>
    <w:rPr>
      <w:sz w:val="28"/>
    </w:rPr>
  </w:style>
  <w:style w:type="character" w:customStyle="1" w:styleId="TitoloCarattere">
    <w:name w:val="Titolo Carattere"/>
    <w:basedOn w:val="Carpredefinitoparagrafo"/>
    <w:link w:val="Titolo"/>
    <w:uiPriority w:val="10"/>
    <w:rsid w:val="000A4336"/>
    <w:rPr>
      <w:rFonts w:asciiTheme="majorHAnsi" w:eastAsiaTheme="majorEastAsia" w:hAnsiTheme="majorHAnsi" w:cstheme="majorBidi"/>
      <w:b/>
      <w:bCs/>
      <w:color w:val="0033CC"/>
      <w:sz w:val="28"/>
      <w:szCs w:val="28"/>
    </w:rPr>
  </w:style>
  <w:style w:type="character" w:styleId="Collegamentoipertestuale">
    <w:name w:val="Hyperlink"/>
    <w:basedOn w:val="Carpredefinitoparagrafo"/>
    <w:uiPriority w:val="99"/>
    <w:unhideWhenUsed/>
    <w:rsid w:val="0004188D"/>
    <w:rPr>
      <w:color w:val="0000FF" w:themeColor="hyperlink"/>
      <w:u w:val="single"/>
    </w:rPr>
  </w:style>
  <w:style w:type="paragraph" w:styleId="Intestazione">
    <w:name w:val="header"/>
    <w:basedOn w:val="Normale"/>
    <w:link w:val="IntestazioneCarattere"/>
    <w:uiPriority w:val="99"/>
    <w:unhideWhenUsed/>
    <w:rsid w:val="00A062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6246"/>
  </w:style>
  <w:style w:type="paragraph" w:styleId="Pidipagina">
    <w:name w:val="footer"/>
    <w:basedOn w:val="Normale"/>
    <w:link w:val="PidipaginaCarattere"/>
    <w:uiPriority w:val="99"/>
    <w:unhideWhenUsed/>
    <w:rsid w:val="00A062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6246"/>
  </w:style>
  <w:style w:type="paragraph" w:styleId="Testofumetto">
    <w:name w:val="Balloon Text"/>
    <w:basedOn w:val="Normale"/>
    <w:link w:val="TestofumettoCarattere"/>
    <w:uiPriority w:val="99"/>
    <w:semiHidden/>
    <w:unhideWhenUsed/>
    <w:rsid w:val="00A062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246"/>
    <w:rPr>
      <w:rFonts w:ascii="Tahoma" w:hAnsi="Tahoma" w:cs="Tahoma"/>
      <w:sz w:val="16"/>
      <w:szCs w:val="16"/>
    </w:rPr>
  </w:style>
  <w:style w:type="paragraph" w:styleId="Paragrafoelenco">
    <w:name w:val="List Paragraph"/>
    <w:basedOn w:val="Normale"/>
    <w:uiPriority w:val="34"/>
    <w:qFormat/>
    <w:rsid w:val="00B96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ia.partout.it/CatastoEnergetico/page42c.do?so=miu163c&amp;hold=160&amp;link=oln878c.redirect&amp;mc=miu163c&amp;nav=page42c.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ione.vda.it/energia/PO_FESR_2014-2020/avviso_ad_evidenza_pubblica_per_efficientamento_energetico_del_patrimonio_edilizio_pubblico_dei_comuni_e_delle_unites_des_communes_valdotaines_i.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FA5AF42B</Template>
  <TotalTime>0</TotalTime>
  <Pages>4</Pages>
  <Words>1510</Words>
  <Characters>8611</Characters>
  <Application>Microsoft Office Word</Application>
  <DocSecurity>4</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DUCOURTIL</dc:creator>
  <cp:lastModifiedBy>Arthur Mirella</cp:lastModifiedBy>
  <cp:revision>2</cp:revision>
  <cp:lastPrinted>2020-05-07T10:52:00Z</cp:lastPrinted>
  <dcterms:created xsi:type="dcterms:W3CDTF">2020-06-29T06:25:00Z</dcterms:created>
  <dcterms:modified xsi:type="dcterms:W3CDTF">2020-06-29T06:25:00Z</dcterms:modified>
</cp:coreProperties>
</file>